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6"/>
        <w:gridCol w:w="5062"/>
        <w:gridCol w:w="715"/>
        <w:gridCol w:w="15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3" w:hRule="atLeast"/>
          <w:tblHeader/>
        </w:trPr>
        <w:tc>
          <w:tcPr>
            <w:tcW w:w="8336" w:type="dxa"/>
            <w:gridSpan w:val="4"/>
            <w:shd w:val="clear" w:color="auto" w:fill="auto"/>
            <w:vAlign w:val="center"/>
          </w:tcPr>
          <w:p>
            <w:pPr>
              <w:keepNext w:val="0"/>
              <w:keepLines w:val="0"/>
              <w:widowControl/>
              <w:suppressLineNumbers w:val="0"/>
              <w:jc w:val="center"/>
              <w:textAlignment w:val="center"/>
              <w:rPr>
                <w:rFonts w:ascii="仿宋_GB2312" w:hAnsi="宋体" w:eastAsia="仿宋_GB2312" w:cs="仿宋_GB2312"/>
                <w:b/>
                <w:i w:val="0"/>
                <w:color w:val="auto"/>
                <w:sz w:val="24"/>
                <w:szCs w:val="24"/>
                <w:u w:val="none"/>
              </w:rPr>
            </w:pPr>
            <w:r>
              <w:rPr>
                <w:rFonts w:hint="eastAsia" w:ascii="仿宋_GB2312" w:hAnsi="宋体" w:eastAsia="仿宋_GB2312" w:cs="仿宋_GB2312"/>
                <w:b/>
                <w:i w:val="0"/>
                <w:color w:val="auto"/>
                <w:kern w:val="0"/>
                <w:sz w:val="24"/>
                <w:szCs w:val="24"/>
                <w:u w:val="none"/>
                <w:lang w:val="en-US" w:eastAsia="zh-CN" w:bidi="ar"/>
              </w:rPr>
              <w:t>四标工程量清单表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5062" w:type="dxa"/>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715" w:type="dxa"/>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shd w:val="clear" w:color="auto" w:fill="auto"/>
            <w:vAlign w:val="center"/>
          </w:tcPr>
          <w:p>
            <w:pPr>
              <w:jc w:val="center"/>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833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2016年巴彦淖尔市杭锦后旗蛮会镇红丰村和民富村高标准基本农田整治项目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3" w:hRule="atLeast"/>
          <w:tblHeader/>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序号</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单项名称</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单位</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工程量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土地平整工程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7"/>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59476.35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（一）</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田块平整工程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7"/>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6376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74KW推土机平整场区 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6376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田间积土和废弃渠沟路工程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7"/>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53100.35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田块5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1332.40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田块6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178.40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田块7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7895.60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田块8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349.70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田块9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1452.40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田块11 积土清运(1.5～2.0km)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田块5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3109.44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田块6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5193.06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田块7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11317.23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2.10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田块8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2255.82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2.11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田块9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1735.53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2.12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田块11 废弃毛渠清运(1.5～2.0km)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6074.97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2.13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田块7 废弃毛沟推平(0～10m)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3364.74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2.14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田块5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114.70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2.15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田块6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558.62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2.16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田块7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2270.44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2.17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田块8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1232.56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2.18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田块9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1916.42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2.19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田块11 废弃生产路(1.5～2.0km)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1324.32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二</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灌溉与排水工程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小东农渠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890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101.46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64.08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88.11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2937.00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441.44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5cm保温板(20kg/m</w:t>
            </w:r>
            <w:r>
              <w:rPr>
                <w:rStyle w:val="58"/>
                <w:rFonts w:hAnsi="宋体"/>
                <w:color w:val="auto"/>
                <w:lang w:val="en-US" w:eastAsia="zh-CN" w:bidi="ar"/>
              </w:rPr>
              <w:t>3</w:t>
            </w:r>
            <w:r>
              <w:rPr>
                <w:rStyle w:val="59"/>
                <w:rFonts w:hAnsi="宋体"/>
                <w:color w:val="auto"/>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2937.00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365.00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进水闸、节制闸钢砼结构拆除及弃渣（9座）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桥涵钢砼和砌石结构拆除及弃渣（1座）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新开毛渠（8条）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Φ80×4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5.58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新高来农渠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63.76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139.61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4668.00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705.54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5cm保温板(20kg/m</w:t>
            </w:r>
            <w:r>
              <w:rPr>
                <w:rStyle w:val="58"/>
                <w:rFonts w:hAnsi="宋体"/>
                <w:color w:val="auto"/>
                <w:lang w:val="en-US" w:eastAsia="zh-CN" w:bidi="ar"/>
              </w:rPr>
              <w:t>3</w:t>
            </w:r>
            <w:r>
              <w:rPr>
                <w:rStyle w:val="59"/>
                <w:rFonts w:hAnsi="宋体"/>
                <w:color w:val="auto"/>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4668.00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进水闸、节制闸钢砼结构拆除及弃渣（14座）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桥涵钢砼和砌石结构拆除及弃渣（2座）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新开毛渠（12条）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4663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233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4896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二社丈渠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2263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外运土(1.5～2.0km)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115.42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194.57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162.94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249.53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8327.00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1260.52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5cm保温板(20kg/m</w:t>
            </w:r>
            <w:r>
              <w:rPr>
                <w:rStyle w:val="58"/>
                <w:rFonts w:hAnsi="宋体"/>
                <w:color w:val="auto"/>
                <w:lang w:val="en-US" w:eastAsia="zh-CN" w:bidi="ar"/>
              </w:rPr>
              <w:t>3</w:t>
            </w:r>
            <w:r>
              <w:rPr>
                <w:rStyle w:val="59"/>
                <w:rFonts w:hAnsi="宋体"/>
                <w:color w:val="auto"/>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8327.00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进水闸、节制闸钢砼结构拆除及弃渣（18座）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27.00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桥涵钢砼和砌石结构拆除及弃渣（3座）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新开毛渠（12条）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5179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5438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23.54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48.40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0.173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闸门、启闭机及排架安装（0.8×0.8）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枕梁桥 3×5</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C20砼挡土墙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C20砼基础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C25钢筋砼枕梁</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7.84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C30钢筋砼枕梁桥面板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10.92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C35钢筋砼桥面板铺装层(100mm厚)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钢护栏（含预埋件）</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C20混凝土基础（限载牌）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铝合金牌（限载牌）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3.7.15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Φ60 钢管（限载牌）</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4 </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丈渠边农渠</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衬砌工程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6cm厚C25砼方板预制、运输、安装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96.91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6cm厚C25砼弧板预制、运输、安装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167.68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6cm厚C25砼封顶板预制、运输、安装</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136.80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3cm厚M10砂浆垫层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211.76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沥青砂浆伸缩缝(90mm×25mm)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1070.09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5cm保温板(20kg/m</w:t>
            </w:r>
            <w:r>
              <w:rPr>
                <w:rStyle w:val="58"/>
                <w:rFonts w:hAnsi="宋体"/>
                <w:color w:val="auto"/>
                <w:lang w:val="en-US" w:eastAsia="zh-CN" w:bidi="ar"/>
              </w:rPr>
              <w:t>3</w:t>
            </w:r>
            <w:r>
              <w:rPr>
                <w:rStyle w:val="59"/>
                <w:rFonts w:hAnsi="宋体"/>
                <w:color w:val="auto"/>
                <w:lang w:val="en-US" w:eastAsia="zh-CN" w:bidi="ar"/>
              </w:rPr>
              <w:t>)</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7078.00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4.1.11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挖树根及外运</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棵</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456.00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旧建筑物拆除工程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进水闸、节制闸钢砼结构拆除及弃渣（6座）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桥涵钢砼和砌石结构拆除及弃渣（5座）</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新开毛渠（17条）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5907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土方回填（渠道）</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6202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0.253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4.4.14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闸门、启闭机安装（0.8×1.0）</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0.29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4.5.14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闸门、启闭机及排架安装（0.6×0.8）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进水闸 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32.10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C25钢筋砼铺盖</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4.80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C25钢筋砼翼墙</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9.90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75.00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1.43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4.6.13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闸门、启闭机及排架安装（0.4×0.8）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节制闸 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Φ6@100钢筋网片</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4.7.12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闸门、启闭机及钢排架安装（1.0×0.8）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套</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Φ100×4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1.91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购置、安装混凝土管Φ100-Ⅱ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4.8.13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涵管桥 Φ60×4</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C25砼护底</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C25钢筋砼挡土板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2.34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购置、安装混凝土管Φ60-Ⅱ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高压聚乙烯闭孔泡沫板(2cm)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2.30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4.9.10</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四油三毡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0.75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4.9.13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0.31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三社南农沟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b/>
                <w:i w:val="0"/>
                <w:color w:val="auto"/>
                <w:sz w:val="18"/>
                <w:szCs w:val="18"/>
                <w:u w:val="none"/>
              </w:rPr>
            </w:pP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仿宋_GB2312" w:hAnsi="宋体" w:eastAsia="仿宋_GB2312" w:cs="仿宋_GB2312"/>
                <w:b/>
                <w:i w:val="0"/>
                <w:color w:val="auto"/>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5.1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三社南农沟</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1650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5.1.1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沟道土方开挖及整形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r>
              <w:rPr>
                <w:rStyle w:val="57"/>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4266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新开毛沟（5条）</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3501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5.2.1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毛沟土方开挖及整形</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12995.71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5.3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排沟桥 砼Φ80×6（L=6m）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座</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土方开挖(建筑物)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土方回填(建筑物)</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砂砾料垫层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6.52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C25钢筋砼一字板</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C25钢筋网砼涵管基础</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购置、安装混凝土管Φ80-Ⅱ</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24.00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C10砼垫层</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3</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0.3mm厚聚乙烯膜</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5.3.9</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钢筋制安</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t</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2.88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三</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田间道路工程</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20845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1</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二六社交界田间道（路面宽4m）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877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1.2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3508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新高来田间道（路面宽4m）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1251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2.2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5004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3</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三社南农沟田间道（路面宽4m）</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2307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3.2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素土路面（40cm厚）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9228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4</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养殖场南区域生产路（5条 田块6）</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1918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4.2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3836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5</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新高来农渠区域生产路（13条 田块7）</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8556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5.2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17112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6</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丈渠边农渠区域生产路（3条 田块8）</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671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6.2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1342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7</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二至三社油路区域生产路（4条 田块9）</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3044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7.2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6088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8</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西沙排干区域生产路（5条 田块11）</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m</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b/>
                <w:i w:val="0"/>
                <w:color w:val="auto"/>
                <w:sz w:val="18"/>
                <w:szCs w:val="18"/>
                <w:u w:val="none"/>
              </w:rPr>
            </w:pPr>
            <w:r>
              <w:rPr>
                <w:rFonts w:hint="eastAsia" w:ascii="仿宋_GB2312" w:hAnsi="宋体" w:eastAsia="仿宋_GB2312" w:cs="仿宋_GB2312"/>
                <w:b/>
                <w:i w:val="0"/>
                <w:color w:val="auto"/>
                <w:kern w:val="0"/>
                <w:sz w:val="18"/>
                <w:szCs w:val="18"/>
                <w:u w:val="none"/>
                <w:lang w:val="en-US" w:eastAsia="zh-CN" w:bidi="ar"/>
              </w:rPr>
              <w:t xml:space="preserve">2221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 w:hRule="atLeast"/>
        </w:trPr>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8.2</w:t>
            </w:r>
          </w:p>
        </w:tc>
        <w:tc>
          <w:tcPr>
            <w:tcW w:w="5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素土路面（20cm厚）</w:t>
            </w:r>
          </w:p>
        </w:tc>
        <w:tc>
          <w:tcPr>
            <w:tcW w:w="7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m</w:t>
            </w:r>
            <w:r>
              <w:rPr>
                <w:rStyle w:val="58"/>
                <w:rFonts w:hAnsi="宋体"/>
                <w:color w:val="auto"/>
                <w:lang w:val="en-US" w:eastAsia="zh-CN" w:bidi="ar"/>
              </w:rPr>
              <w:t>2</w:t>
            </w:r>
          </w:p>
        </w:tc>
        <w:tc>
          <w:tcPr>
            <w:tcW w:w="1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仿宋_GB2312" w:hAnsi="宋体" w:eastAsia="仿宋_GB2312" w:cs="仿宋_GB2312"/>
                <w:i w:val="0"/>
                <w:color w:val="auto"/>
                <w:sz w:val="18"/>
                <w:szCs w:val="18"/>
                <w:u w:val="none"/>
              </w:rPr>
            </w:pPr>
            <w:r>
              <w:rPr>
                <w:rFonts w:hint="eastAsia" w:ascii="仿宋_GB2312" w:hAnsi="宋体" w:eastAsia="仿宋_GB2312" w:cs="仿宋_GB2312"/>
                <w:i w:val="0"/>
                <w:color w:val="auto"/>
                <w:kern w:val="0"/>
                <w:sz w:val="18"/>
                <w:szCs w:val="18"/>
                <w:u w:val="none"/>
                <w:lang w:val="en-US" w:eastAsia="zh-CN" w:bidi="ar"/>
              </w:rPr>
              <w:t xml:space="preserve">4442 </w:t>
            </w:r>
          </w:p>
        </w:tc>
      </w:tr>
    </w:tbl>
    <w:p/>
    <w:tbl>
      <w:tblPr>
        <w:tblStyle w:val="7"/>
        <w:tblW w:w="8522" w:type="dxa"/>
        <w:tblInd w:w="0" w:type="dxa"/>
        <w:tblLayout w:type="fixed"/>
        <w:tblCellMar>
          <w:top w:w="0" w:type="dxa"/>
          <w:left w:w="108" w:type="dxa"/>
          <w:bottom w:w="0" w:type="dxa"/>
          <w:right w:w="108" w:type="dxa"/>
        </w:tblCellMar>
      </w:tblPr>
      <w:tblGrid>
        <w:gridCol w:w="671"/>
        <w:gridCol w:w="5212"/>
        <w:gridCol w:w="1297"/>
        <w:gridCol w:w="672"/>
        <w:gridCol w:w="670"/>
      </w:tblGrid>
      <w:tr>
        <w:tblPrEx>
          <w:tblLayout w:type="fixed"/>
          <w:tblCellMar>
            <w:top w:w="0" w:type="dxa"/>
            <w:left w:w="108" w:type="dxa"/>
            <w:bottom w:w="0" w:type="dxa"/>
            <w:right w:w="108" w:type="dxa"/>
          </w:tblCellMar>
        </w:tblPrEx>
        <w:trPr>
          <w:trHeight w:val="300" w:hRule="atLeast"/>
        </w:trPr>
        <w:tc>
          <w:tcPr>
            <w:tcW w:w="8522" w:type="dxa"/>
            <w:gridSpan w:val="5"/>
            <w:tcBorders>
              <w:top w:val="nil"/>
              <w:left w:val="nil"/>
              <w:bottom w:val="nil"/>
              <w:right w:val="nil"/>
            </w:tcBorders>
            <w:shd w:val="clear" w:color="auto" w:fill="auto"/>
            <w:vAlign w:val="center"/>
          </w:tcPr>
          <w:p>
            <w:pPr>
              <w:widowControl/>
              <w:jc w:val="center"/>
              <w:rPr>
                <w:rFonts w:ascii="仿宋_GB2312" w:hAnsi="宋体" w:eastAsia="仿宋_GB2312" w:cs="宋体"/>
                <w:b/>
                <w:bCs/>
                <w:kern w:val="0"/>
                <w:sz w:val="24"/>
                <w:szCs w:val="24"/>
              </w:rPr>
            </w:pPr>
            <w:r>
              <w:br w:type="page"/>
            </w:r>
            <w:r>
              <w:rPr>
                <w:rFonts w:hint="eastAsia" w:ascii="仿宋_GB2312" w:hAnsi="宋体" w:eastAsia="仿宋_GB2312" w:cs="宋体"/>
                <w:b/>
                <w:bCs/>
                <w:kern w:val="0"/>
                <w:sz w:val="24"/>
                <w:szCs w:val="24"/>
              </w:rPr>
              <w:t>设备清单表</w:t>
            </w:r>
          </w:p>
        </w:tc>
      </w:tr>
      <w:tr>
        <w:tblPrEx>
          <w:tblLayout w:type="fixed"/>
          <w:tblCellMar>
            <w:top w:w="0" w:type="dxa"/>
            <w:left w:w="108" w:type="dxa"/>
            <w:bottom w:w="0" w:type="dxa"/>
            <w:right w:w="108" w:type="dxa"/>
          </w:tblCellMar>
        </w:tblPrEx>
        <w:trPr>
          <w:trHeight w:val="300" w:hRule="atLeast"/>
        </w:trPr>
        <w:tc>
          <w:tcPr>
            <w:tcW w:w="5883" w:type="dxa"/>
            <w:gridSpan w:val="2"/>
            <w:tcBorders>
              <w:top w:val="nil"/>
              <w:left w:val="nil"/>
              <w:bottom w:val="single" w:color="auto" w:sz="4" w:space="0"/>
              <w:right w:val="nil"/>
            </w:tcBorders>
            <w:shd w:val="clear" w:color="auto" w:fill="auto"/>
            <w:vAlign w:val="center"/>
          </w:tcPr>
          <w:p>
            <w:pPr>
              <w:widowControl/>
              <w:jc w:val="left"/>
              <w:rPr>
                <w:rFonts w:ascii="仿宋_GB2312" w:hAnsi="宋体" w:eastAsia="仿宋_GB2312" w:cs="宋体"/>
                <w:kern w:val="0"/>
                <w:szCs w:val="21"/>
              </w:rPr>
            </w:pPr>
            <w:r>
              <w:rPr>
                <w:rFonts w:hint="eastAsia" w:ascii="仿宋_GB2312" w:hAnsi="宋体" w:eastAsia="仿宋_GB2312" w:cs="宋体"/>
                <w:kern w:val="0"/>
                <w:szCs w:val="21"/>
              </w:rPr>
              <w:t>　</w:t>
            </w:r>
          </w:p>
        </w:tc>
        <w:tc>
          <w:tcPr>
            <w:tcW w:w="1297"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2"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c>
          <w:tcPr>
            <w:tcW w:w="670" w:type="dxa"/>
            <w:tcBorders>
              <w:top w:val="nil"/>
              <w:left w:val="nil"/>
              <w:bottom w:val="nil"/>
              <w:right w:val="nil"/>
            </w:tcBorders>
            <w:shd w:val="clear" w:color="auto" w:fill="auto"/>
            <w:vAlign w:val="center"/>
          </w:tcPr>
          <w:p>
            <w:pPr>
              <w:widowControl/>
              <w:jc w:val="center"/>
              <w:rPr>
                <w:rFonts w:ascii="仿宋_GB2312" w:hAnsi="宋体" w:eastAsia="仿宋_GB2312" w:cs="宋体"/>
                <w:kern w:val="0"/>
                <w:szCs w:val="21"/>
              </w:rPr>
            </w:pPr>
          </w:p>
        </w:tc>
      </w:tr>
      <w:tr>
        <w:tblPrEx>
          <w:tblLayout w:type="fixed"/>
          <w:tblCellMar>
            <w:top w:w="0" w:type="dxa"/>
            <w:left w:w="108" w:type="dxa"/>
            <w:bottom w:w="0" w:type="dxa"/>
            <w:right w:w="108" w:type="dxa"/>
          </w:tblCellMar>
        </w:tblPrEx>
        <w:trPr>
          <w:trHeight w:val="312" w:hRule="atLeast"/>
        </w:trPr>
        <w:tc>
          <w:tcPr>
            <w:tcW w:w="671"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序号</w:t>
            </w:r>
          </w:p>
        </w:tc>
        <w:tc>
          <w:tcPr>
            <w:tcW w:w="521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设备名称</w:t>
            </w:r>
          </w:p>
        </w:tc>
        <w:tc>
          <w:tcPr>
            <w:tcW w:w="12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规格</w:t>
            </w:r>
          </w:p>
        </w:tc>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单位</w:t>
            </w:r>
          </w:p>
        </w:tc>
        <w:tc>
          <w:tcPr>
            <w:tcW w:w="6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数量</w:t>
            </w:r>
            <w:bookmarkStart w:id="0" w:name="_GoBack"/>
            <w:bookmarkEnd w:id="0"/>
          </w:p>
        </w:tc>
      </w:tr>
      <w:tr>
        <w:tblPrEx>
          <w:tblLayout w:type="fixed"/>
          <w:tblCellMar>
            <w:top w:w="0" w:type="dxa"/>
            <w:left w:w="108" w:type="dxa"/>
            <w:bottom w:w="0" w:type="dxa"/>
            <w:right w:w="108" w:type="dxa"/>
          </w:tblCellMar>
        </w:tblPrEx>
        <w:trPr>
          <w:trHeight w:val="312" w:hRule="atLeast"/>
        </w:trPr>
        <w:tc>
          <w:tcPr>
            <w:tcW w:w="671"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521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c>
          <w:tcPr>
            <w:tcW w:w="12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18"/>
                <w:szCs w:val="18"/>
              </w:rPr>
            </w:pPr>
          </w:p>
        </w:tc>
        <w:tc>
          <w:tcPr>
            <w:tcW w:w="67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18"/>
                <w:szCs w:val="18"/>
              </w:rPr>
            </w:pP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1.0×0.8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2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QLC2.0t启闭机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0.8×1.0</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3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QLC1.0t启闭机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0.8×0.8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1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QLC1.0t启闭机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0.6×0.8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 </w:t>
            </w:r>
          </w:p>
        </w:tc>
      </w:tr>
      <w:tr>
        <w:tblPrEx>
          <w:tblLayout w:type="fixed"/>
          <w:tblCellMar>
            <w:top w:w="0" w:type="dxa"/>
            <w:left w:w="108" w:type="dxa"/>
            <w:bottom w:w="0" w:type="dxa"/>
            <w:right w:w="108" w:type="dxa"/>
          </w:tblCellMar>
        </w:tblPrEx>
        <w:trPr>
          <w:trHeight w:val="300" w:hRule="atLeast"/>
        </w:trPr>
        <w:tc>
          <w:tcPr>
            <w:tcW w:w="67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 </w:t>
            </w:r>
          </w:p>
        </w:tc>
        <w:tc>
          <w:tcPr>
            <w:tcW w:w="521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PGZ铸铁闸门 QLC0.5t启闭机 钢排架</w:t>
            </w:r>
          </w:p>
        </w:tc>
        <w:tc>
          <w:tcPr>
            <w:tcW w:w="129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0.4×0.8</w:t>
            </w:r>
          </w:p>
        </w:tc>
        <w:tc>
          <w:tcPr>
            <w:tcW w:w="67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启</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46 </w:t>
            </w:r>
          </w:p>
        </w:tc>
      </w:tr>
      <w:tr>
        <w:tblPrEx>
          <w:tblLayout w:type="fixed"/>
          <w:tblCellMar>
            <w:top w:w="0" w:type="dxa"/>
            <w:left w:w="108" w:type="dxa"/>
            <w:bottom w:w="0" w:type="dxa"/>
            <w:right w:w="108" w:type="dxa"/>
          </w:tblCellMar>
        </w:tblPrEx>
        <w:trPr>
          <w:trHeight w:val="300" w:hRule="atLeast"/>
        </w:trPr>
        <w:tc>
          <w:tcPr>
            <w:tcW w:w="785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合计</w:t>
            </w:r>
          </w:p>
        </w:tc>
        <w:tc>
          <w:tcPr>
            <w:tcW w:w="67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xml:space="preserve">57 </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82878"/>
    <w:rsid w:val="002E5882"/>
    <w:rsid w:val="006C5249"/>
    <w:rsid w:val="00782878"/>
    <w:rsid w:val="020B49A4"/>
    <w:rsid w:val="43D75897"/>
    <w:rsid w:val="4C361B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800080"/>
      <w:u w:val="single"/>
    </w:rPr>
  </w:style>
  <w:style w:type="character" w:styleId="6">
    <w:name w:val="Hyperlink"/>
    <w:basedOn w:val="4"/>
    <w:unhideWhenUsed/>
    <w:qFormat/>
    <w:uiPriority w:val="99"/>
    <w:rPr>
      <w:color w:val="0000FF"/>
      <w:u w:val="single"/>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 w:type="paragraph" w:customStyle="1" w:styleId="10">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1">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
    <w:name w:val="font7"/>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13">
    <w:name w:val="font8"/>
    <w:basedOn w:val="1"/>
    <w:qFormat/>
    <w:uiPriority w:val="0"/>
    <w:pPr>
      <w:widowControl/>
      <w:spacing w:before="100" w:beforeAutospacing="1" w:after="100" w:afterAutospacing="1"/>
      <w:jc w:val="left"/>
    </w:pPr>
    <w:rPr>
      <w:rFonts w:ascii="仿宋_GB2312" w:hAnsi="宋体" w:eastAsia="仿宋_GB2312" w:cs="宋体"/>
      <w:b/>
      <w:bCs/>
      <w:kern w:val="0"/>
      <w:sz w:val="18"/>
      <w:szCs w:val="18"/>
    </w:rPr>
  </w:style>
  <w:style w:type="paragraph" w:customStyle="1" w:styleId="14">
    <w:name w:val="font9"/>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15">
    <w:name w:val="font10"/>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6">
    <w:name w:val="xl81"/>
    <w:basedOn w:val="1"/>
    <w:qFormat/>
    <w:uiPriority w:val="0"/>
    <w:pPr>
      <w:widowControl/>
      <w:spacing w:before="100" w:beforeAutospacing="1" w:after="100" w:afterAutospacing="1"/>
      <w:jc w:val="center"/>
    </w:pPr>
    <w:rPr>
      <w:rFonts w:ascii="仿宋_GB2312" w:hAnsi="宋体" w:eastAsia="仿宋_GB2312" w:cs="宋体"/>
      <w:kern w:val="0"/>
      <w:sz w:val="18"/>
      <w:szCs w:val="18"/>
    </w:rPr>
  </w:style>
  <w:style w:type="paragraph" w:customStyle="1" w:styleId="17">
    <w:name w:val="xl82"/>
    <w:basedOn w:val="1"/>
    <w:qFormat/>
    <w:uiPriority w:val="0"/>
    <w:pPr>
      <w:widowControl/>
      <w:spacing w:before="100" w:beforeAutospacing="1" w:after="100" w:afterAutospacing="1"/>
      <w:jc w:val="center"/>
    </w:pPr>
    <w:rPr>
      <w:rFonts w:ascii="仿宋_GB2312" w:hAnsi="宋体" w:eastAsia="仿宋_GB2312" w:cs="宋体"/>
      <w:b/>
      <w:bCs/>
      <w:kern w:val="0"/>
      <w:sz w:val="18"/>
      <w:szCs w:val="18"/>
    </w:rPr>
  </w:style>
  <w:style w:type="paragraph" w:customStyle="1" w:styleId="1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19">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2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27">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2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2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3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18"/>
      <w:szCs w:val="18"/>
    </w:rPr>
  </w:style>
  <w:style w:type="paragraph" w:customStyle="1" w:styleId="3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b/>
      <w:bCs/>
      <w:kern w:val="0"/>
      <w:sz w:val="18"/>
      <w:szCs w:val="18"/>
    </w:rPr>
  </w:style>
  <w:style w:type="paragraph" w:customStyle="1" w:styleId="3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b/>
      <w:bCs/>
      <w:kern w:val="0"/>
      <w:sz w:val="18"/>
      <w:szCs w:val="18"/>
    </w:rPr>
  </w:style>
  <w:style w:type="paragraph" w:customStyle="1" w:styleId="34">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5">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6">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仿宋_GB2312" w:hAnsi="宋体" w:eastAsia="仿宋_GB2312" w:cs="宋体"/>
      <w:kern w:val="0"/>
      <w:sz w:val="18"/>
      <w:szCs w:val="18"/>
    </w:rPr>
  </w:style>
  <w:style w:type="paragraph" w:customStyle="1" w:styleId="37">
    <w:name w:val="xl102"/>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38">
    <w:name w:val="xl103"/>
    <w:basedOn w:val="1"/>
    <w:qFormat/>
    <w:uiPriority w:val="0"/>
    <w:pPr>
      <w:widowControl/>
      <w:spacing w:before="100" w:beforeAutospacing="1" w:after="100" w:afterAutospacing="1"/>
      <w:jc w:val="left"/>
    </w:pPr>
    <w:rPr>
      <w:rFonts w:ascii="仿宋_GB2312" w:hAnsi="宋体" w:eastAsia="仿宋_GB2312" w:cs="宋体"/>
      <w:kern w:val="0"/>
      <w:sz w:val="18"/>
      <w:szCs w:val="18"/>
    </w:rPr>
  </w:style>
  <w:style w:type="paragraph" w:customStyle="1" w:styleId="39">
    <w:name w:val="xl104"/>
    <w:basedOn w:val="1"/>
    <w:uiPriority w:val="0"/>
    <w:pPr>
      <w:widowControl/>
      <w:spacing w:before="100" w:beforeAutospacing="1" w:after="100" w:afterAutospacing="1"/>
      <w:jc w:val="right"/>
    </w:pPr>
    <w:rPr>
      <w:rFonts w:ascii="仿宋_GB2312" w:hAnsi="宋体" w:eastAsia="仿宋_GB2312" w:cs="宋体"/>
      <w:kern w:val="0"/>
      <w:sz w:val="18"/>
      <w:szCs w:val="18"/>
    </w:rPr>
  </w:style>
  <w:style w:type="paragraph" w:customStyle="1" w:styleId="4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
    <w:name w:val="xl10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3">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4">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5">
    <w:name w:val="xl11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6">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7">
    <w:name w:val="xl11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48">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kern w:val="0"/>
      <w:sz w:val="18"/>
      <w:szCs w:val="18"/>
    </w:rPr>
  </w:style>
  <w:style w:type="paragraph" w:customStyle="1" w:styleId="49">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left"/>
    </w:pPr>
    <w:rPr>
      <w:rFonts w:ascii="仿宋_GB2312" w:hAnsi="宋体" w:eastAsia="仿宋_GB2312" w:cs="宋体"/>
      <w:b/>
      <w:bCs/>
      <w:kern w:val="0"/>
      <w:sz w:val="18"/>
      <w:szCs w:val="18"/>
    </w:rPr>
  </w:style>
  <w:style w:type="paragraph" w:customStyle="1" w:styleId="50">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left"/>
    </w:pPr>
    <w:rPr>
      <w:rFonts w:ascii="仿宋_GB2312" w:hAnsi="宋体" w:eastAsia="仿宋_GB2312" w:cs="宋体"/>
      <w:b/>
      <w:bCs/>
      <w:kern w:val="0"/>
      <w:sz w:val="18"/>
      <w:szCs w:val="18"/>
    </w:rPr>
  </w:style>
  <w:style w:type="paragraph" w:customStyle="1" w:styleId="51">
    <w:name w:val="xl116"/>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left"/>
    </w:pPr>
    <w:rPr>
      <w:rFonts w:ascii="仿宋_GB2312" w:hAnsi="宋体" w:eastAsia="仿宋_GB2312" w:cs="宋体"/>
      <w:b/>
      <w:bCs/>
      <w:kern w:val="0"/>
      <w:sz w:val="18"/>
      <w:szCs w:val="18"/>
    </w:rPr>
  </w:style>
  <w:style w:type="paragraph" w:customStyle="1" w:styleId="52">
    <w:name w:val="xl117"/>
    <w:basedOn w:val="1"/>
    <w:uiPriority w:val="0"/>
    <w:pPr>
      <w:widowControl/>
      <w:pBdr>
        <w:top w:val="single" w:color="auto" w:sz="4" w:space="0"/>
        <w:left w:val="single" w:color="auto" w:sz="4" w:space="0"/>
        <w:bottom w:val="single" w:color="auto" w:sz="4" w:space="0"/>
        <w:right w:val="single" w:color="auto" w:sz="4" w:space="0"/>
      </w:pBdr>
      <w:shd w:val="clear" w:color="000000" w:fill="C2D69A"/>
      <w:spacing w:before="100" w:beforeAutospacing="1" w:after="100" w:afterAutospacing="1"/>
      <w:jc w:val="left"/>
    </w:pPr>
    <w:rPr>
      <w:rFonts w:ascii="仿宋_GB2312" w:hAnsi="宋体" w:eastAsia="仿宋_GB2312" w:cs="宋体"/>
      <w:b/>
      <w:bCs/>
      <w:kern w:val="0"/>
      <w:sz w:val="18"/>
      <w:szCs w:val="18"/>
    </w:rPr>
  </w:style>
  <w:style w:type="paragraph" w:customStyle="1" w:styleId="53">
    <w:name w:val="xl118"/>
    <w:basedOn w:val="1"/>
    <w:qFormat/>
    <w:uiPriority w:val="0"/>
    <w:pPr>
      <w:widowControl/>
      <w:spacing w:before="100" w:beforeAutospacing="1" w:after="100" w:afterAutospacing="1"/>
      <w:jc w:val="center"/>
    </w:pPr>
    <w:rPr>
      <w:rFonts w:ascii="仿宋_GB2312" w:hAnsi="宋体" w:eastAsia="仿宋_GB2312" w:cs="宋体"/>
      <w:b/>
      <w:bCs/>
      <w:kern w:val="0"/>
      <w:sz w:val="24"/>
      <w:szCs w:val="24"/>
    </w:rPr>
  </w:style>
  <w:style w:type="paragraph" w:customStyle="1" w:styleId="54">
    <w:name w:val="xl11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5">
    <w:name w:val="xl120"/>
    <w:basedOn w:val="1"/>
    <w:qFormat/>
    <w:uiPriority w:val="0"/>
    <w:pPr>
      <w:widowControl/>
      <w:pBdr>
        <w:top w:val="single" w:color="auto" w:sz="4" w:space="0"/>
        <w:bottom w:val="single" w:color="auto" w:sz="4" w:space="0"/>
      </w:pBdr>
      <w:spacing w:before="100" w:beforeAutospacing="1" w:after="100" w:afterAutospacing="1"/>
      <w:jc w:val="center"/>
    </w:pPr>
    <w:rPr>
      <w:rFonts w:ascii="仿宋_GB2312" w:hAnsi="宋体" w:eastAsia="仿宋_GB2312" w:cs="宋体"/>
      <w:kern w:val="0"/>
      <w:sz w:val="18"/>
      <w:szCs w:val="18"/>
    </w:rPr>
  </w:style>
  <w:style w:type="paragraph" w:customStyle="1" w:styleId="56">
    <w:name w:val="xl12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18"/>
      <w:szCs w:val="18"/>
    </w:rPr>
  </w:style>
  <w:style w:type="character" w:customStyle="1" w:styleId="57">
    <w:name w:val="font11"/>
    <w:basedOn w:val="4"/>
    <w:qFormat/>
    <w:uiPriority w:val="0"/>
    <w:rPr>
      <w:rFonts w:hint="eastAsia" w:ascii="仿宋_GB2312" w:eastAsia="仿宋_GB2312" w:cs="仿宋_GB2312"/>
      <w:b/>
      <w:color w:val="000000"/>
      <w:sz w:val="18"/>
      <w:szCs w:val="18"/>
      <w:u w:val="none"/>
      <w:vertAlign w:val="superscript"/>
    </w:rPr>
  </w:style>
  <w:style w:type="character" w:customStyle="1" w:styleId="58">
    <w:name w:val="font01"/>
    <w:basedOn w:val="4"/>
    <w:uiPriority w:val="0"/>
    <w:rPr>
      <w:rFonts w:hint="eastAsia" w:ascii="仿宋_GB2312" w:eastAsia="仿宋_GB2312" w:cs="仿宋_GB2312"/>
      <w:color w:val="000000"/>
      <w:sz w:val="18"/>
      <w:szCs w:val="18"/>
      <w:u w:val="none"/>
      <w:vertAlign w:val="superscript"/>
    </w:rPr>
  </w:style>
  <w:style w:type="character" w:customStyle="1" w:styleId="59">
    <w:name w:val="font41"/>
    <w:basedOn w:val="4"/>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11</Pages>
  <Words>1571</Words>
  <Characters>8958</Characters>
  <Lines>74</Lines>
  <Paragraphs>21</Paragraphs>
  <ScaleCrop>false</ScaleCrop>
  <LinksUpToDate>false</LinksUpToDate>
  <CharactersWithSpaces>10508</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2013-08-24T03:01:00Z</dcterms:created>
  <dc:creator>微软用户</dc:creator>
  <cp:lastModifiedBy>Administrator</cp:lastModifiedBy>
  <dcterms:modified xsi:type="dcterms:W3CDTF">2017-11-25T14:17:15Z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